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СООБЩЕНИЕ О ВОЗМОЖНОМ УСТАНОВЛЕНИИ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ПУБЛИЧНОГО СЕРВИТУТА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Администрацией города Нижнего Новгорода рассматривается ходатайство АО «Теплоэнерго» об установлении публичного сервитута на частях земельных участков с кадастровыми номерами: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- 52:18:0000000:15243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Новгород, улица 50-летия Победы, земельный участок 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- 52:18:0020023:642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Новгород, улица 50-летия Победы, земельный участок 8/2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- 52:18:0000000:15298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Новгород, улица Буревестника, земельный участок 1Р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в целях, предусмотренных п. 1 ст. 39.37 Земельного кодекса Российской Федерации, строительства объекта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Квартальные тепловые сети от Сормовской ТЭЦ, 4 очередь (ТК-414а к4). Адрес (ме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стоположение): г. Нижний Новгород, Московский район, от ТК-414а к4 в 25 м на СВ от С угла д. 10к1 по ул. 50-летия Победы до т. на границе сетей инженерно-технического обеспечения строящегося жилого дома в 60 м на ЮЗ от ЮЗ угла д. 6/2 по ул. 50-летия Победы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»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Московском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районе города Нижнего Новгорода.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Нижний Новгород, Кремль, корпус 5,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 438, тел.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467 10 50 (департамент градостроительного развития и архитектуры администрации города Нижнего Новгорода)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Время приема заинтересованных лиц: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понедельник - четверг с 10:00 до 18:00,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пятница с 10:00 до 17:00, обед с 12:00 до 12:48.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города Нижнего Новгорода в информационно-коммуникационной сети «Интернет»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Нижнийновгород.рф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 – О городе – Направления деятельности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–  Градостроительство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 и архитектура – Публичные сервитуты.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Кроме того, в соотв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етствии с пунктом 8 статьи 39.42 Земельного кодекса Российской Федерации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тнадцати дней со дня опубликования сообщения в порядке, установленном для официального опубликования (обнародования) правовых актов городского округа, подают в орган, уполномоченный на установление публичного сервитута, заявления об учете их прав (обремене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Заинтересованные лица имеют право п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одать заявления об учете прав на земельный участок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 электронной почте </w:t>
      </w:r>
      <w:hyperlink r:id="rId10" w:tooltip="mailto:dgria@admgor.nnov.ru" w:history="1">
        <w:r>
          <w:rPr>
            <w:rStyle w:val="858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8"/>
            <w:szCs w:val="28"/>
            <w:highlight w:val="none"/>
            <w:u w:val="none"/>
            <w:vertAlign w:val="baseline"/>
            <w:rtl w:val="0"/>
            <w:cs w:val="0"/>
            <w14:ligatures w14:val="none"/>
          </w:rPr>
          <w:t xml:space="preserve">dgria@admgor.nnov.ru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или 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по адресу: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603082, Нижний Новгород, Кремль, корпус 5,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 438, тел.467 10 50 (департамент градостроительного развития и архитектуры администрации города Нижнего Новгорода)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07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.11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 w:themeColor="text1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включительно.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Время приема заинтересованных лиц: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понедельник - четверг с 10:00 до 18:00,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пятница с 10:00 до 17:00, обед с 12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00 до 12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48.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Работы по строительству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объекта: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Квартальные тепловые сети от Сормовской ТЭЦ, 4 очередь (ТК-414а к4). Адрес (ме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стоположение): г. Нижний Новгород, Московский район, от ТК-414а к4 в 25 м на СВ от С угла д. 10к1 по ул. 50-летия Победы до т. на границе сетей инженерно-технического обеспечения строящегося жилого дома в 60 м на ЮЗ от ЮЗ угла д. 6/2 по ул. 50-летия Победы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», </w:t>
      </w:r>
      <w:r>
        <w:rPr>
          <w:sz w:val="28"/>
          <w:szCs w:val="28"/>
        </w:rPr>
        <w:t xml:space="preserve">необходимые для</w:t>
      </w:r>
      <w:r>
        <w:rPr>
          <w:sz w:val="28"/>
          <w:szCs w:val="28"/>
        </w:rPr>
        <w:t xml:space="preserve"> подключения (технологического присоединения) к сетям инженерно-технического обеспечени</w:t>
      </w:r>
      <w:r>
        <w:rPr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предусмотрены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Инвестиционной программой АО «Теплоэнерго» на 2023-2047 гг. (с корректировкой от 06.11.2024),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утвержденной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приказом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Министерств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энергетики и жилищно-коммунального хозяйства Нижегородской области от 20.11.2024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329-472/24П/од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договором о подключении к системе теплоснабжения № 42121/52-ПД от 22.11.2023, заключенным между АО «Теплоэнерго» и ООО СЗ «Андор»</w:t>
      </w:r>
      <w:r>
        <w:rPr>
          <w:sz w:val="28"/>
          <w:szCs w:val="28"/>
        </w:rPr>
        <w:t xml:space="preserve">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Информация об инвестиционной программе размещена на официальном сайте АО «Теплоэнерго» </w:t>
      </w:r>
      <w:hyperlink r:id="rId11" w:tooltip="https://teploenergo-nn.ru/." w:history="1">
        <w:r>
          <w:rPr>
            <w:rStyle w:val="858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0d0d0d" w:themeColor="text1" w:themeTint="F2"/>
            <w:spacing w:val="0"/>
            <w:position w:val="0"/>
            <w:sz w:val="28"/>
            <w:szCs w:val="28"/>
            <w:highlight w:val="none"/>
            <w:u w:val="none"/>
            <w:vertAlign w:val="baseline"/>
            <w:rtl w:val="0"/>
            <w:cs w:val="0"/>
            <w14:ligatures w14:val="none"/>
          </w:rPr>
          <w:t xml:space="preserve">https://teploenergo-nn.ru/.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Указанная документация размещена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официальном сайте администрации города Нижнего Новгорода в информационно - коммуникационной сети «Интернет»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Нижнийновгород.рф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ectPr>
          <w:footnotePr/>
          <w:endnotePr/>
          <w:type w:val="continuous"/>
          <w:pgSz w:w="11906" w:h="16838" w:orient="portrait"/>
          <w:pgMar w:top="1134" w:right="851" w:bottom="1247" w:left="1134" w:header="709" w:footer="709" w:gutter="0"/>
          <w:cols w:num="1" w:sep="0" w:space="708" w:equalWidth="1"/>
          <w:docGrid w:linePitch="360"/>
        </w:sect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80195" cy="649123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3894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180194" cy="6491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2.85pt;height:511.12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sectPr>
      <w:footnotePr/>
      <w:endnotePr/>
      <w:type w:val="continuous"/>
      <w:pgSz w:w="16838" w:h="11906" w:orient="landscape"/>
      <w:pgMar w:top="1134" w:right="1134" w:bottom="851" w:left="124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6"/>
    <w:uiPriority w:val="99"/>
    <w:rPr>
      <w:sz w:val="18"/>
    </w:rPr>
  </w:style>
  <w:style w:type="character" w:styleId="672">
    <w:name w:val="Endnote Text Char"/>
    <w:link w:val="839"/>
    <w:uiPriority w:val="99"/>
    <w:rPr>
      <w:sz w:val="20"/>
    </w:rPr>
  </w:style>
  <w:style w:type="paragraph" w:styleId="6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link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3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3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3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</w:style>
  <w:style w:type="character" w:styleId="853" w:customStyle="1">
    <w:name w:val="Date_num"/>
    <w:basedOn w:val="683"/>
    <w:rPr>
      <w:rFonts w:cs="Times New Roman"/>
    </w:rPr>
  </w:style>
  <w:style w:type="paragraph" w:styleId="854">
    <w:name w:val="Body Text Indent"/>
    <w:basedOn w:val="673"/>
    <w:link w:val="855"/>
    <w:pPr>
      <w:ind w:left="283"/>
      <w:spacing w:after="120"/>
    </w:pPr>
  </w:style>
  <w:style w:type="character" w:styleId="855" w:customStyle="1">
    <w:name w:val="Основной текст с отступом Знак"/>
    <w:basedOn w:val="683"/>
    <w:link w:val="85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Balloon Text"/>
    <w:basedOn w:val="673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83"/>
    <w:link w:val="85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8">
    <w:name w:val="Hyperlink"/>
    <w:basedOn w:val="683"/>
    <w:uiPriority w:val="99"/>
    <w:unhideWhenUsed/>
    <w:rPr>
      <w:color w:val="0000ff" w:themeColor="hyperlink"/>
      <w:u w:val="single"/>
    </w:rPr>
  </w:style>
  <w:style w:type="paragraph" w:styleId="859" w:customStyle="1">
    <w:name w:val="Основной текст с отступом 31"/>
    <w:basedOn w:val="673"/>
    <w:pPr>
      <w:ind w:left="284" w:right="284" w:firstLine="900"/>
      <w:jc w:val="both"/>
    </w:pPr>
    <w:rPr>
      <w:sz w:val="28"/>
      <w:szCs w:val="28"/>
      <w:lang w:eastAsia="ar-SA"/>
    </w:rPr>
  </w:style>
  <w:style w:type="table" w:styleId="860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 w:customStyle="1">
    <w:name w:val="Основной текст с отступом1"/>
    <w:basedOn w:val="859"/>
    <w:pPr>
      <w:ind w:left="283" w:right="0" w:firstLine="0"/>
      <w:jc w:val="left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  <w:lang w:eastAsia="ru-RU"/>
    </w:rPr>
  </w:style>
  <w:style w:type="character" w:styleId="862" w:customStyle="1">
    <w:name w:val="fontstyle01"/>
    <w:basedOn w:val="683"/>
    <w:rPr>
      <w:rFonts w:hint="default"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gria@admgor.nnov.ru" TargetMode="External"/><Relationship Id="rId11" Type="http://schemas.openxmlformats.org/officeDocument/2006/relationships/hyperlink" Target="https://teploenergo-nn.ru/." TargetMode="External"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7C8C3-B7B8-430E-8752-EFDA14FB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kluykova</dc:creator>
  <cp:lastModifiedBy>m.vilkova</cp:lastModifiedBy>
  <cp:revision>51</cp:revision>
  <dcterms:created xsi:type="dcterms:W3CDTF">2022-12-22T11:09:00Z</dcterms:created>
  <dcterms:modified xsi:type="dcterms:W3CDTF">2025-10-21T10:29:47Z</dcterms:modified>
</cp:coreProperties>
</file>